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Отдел политики энергосбережения, топливо- и газоснабжения.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left="709" w:right="0" w:firstLine="0"/>
        <w:jc w:val="left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            Главный специалист-эксперт.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cs="Times New Roman"/>
          <w:b/>
          <w:bCs/>
          <w:i/>
          <w:spacing w:val="-4"/>
        </w:rPr>
      </w:r>
    </w:p>
    <w:p>
      <w:pPr>
        <w:ind w:left="709" w:right="0" w:firstLine="0"/>
        <w:jc w:val="left"/>
        <w:tabs>
          <w:tab w:val="left" w:pos="992" w:leader="none"/>
        </w:tabs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требования к стаж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участвовать в организации и осуществлении работы по разработке и реализации краевых целевых программ развития энергосбережения, топливо- и газоснабжения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участвовать в осуществлении государственной политики в области энергосбережения и повышения энергетической эффективности на территории Забайкальского края в пределах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участвовать в совершенствовании нормативной правовой базы, в подготовке проектов законов, иных нормативных правовых актов Забайкальского края в сфере энергосбережения, топливо- и газоснабжения, в пределах компетенции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размещения на официальном сайте Министерства в информационно-телекоммуникационной сети «Интернет» информации;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ять в пределах компетенции отдела работу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информационных системах, в том числе ведение и мониторинг заполнения государственной информационной системы в области энергосбережения и повышения энергетической эффективности ГИС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Энергоэффективность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роводить мониторинг деятельности предприятий, занимающихся регулируемыми видами деятельности, по вопросам повышения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энергоэффективности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выработку предложений по повышению эффективности;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(ГИС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Энергоэффективность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необходимой информации в соответствии с правилами, утвержденными Правительством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2025-04-16T03:22:23Z</dcterms:modified>
</cp:coreProperties>
</file>